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259E" w:rsidRPr="00AA43D9" w:rsidRDefault="00E4259E" w:rsidP="00E4259E">
      <w:pPr>
        <w:pStyle w:val="a5"/>
        <w:widowControl/>
        <w:spacing w:line="360" w:lineRule="auto"/>
        <w:ind w:right="99"/>
        <w:jc w:val="right"/>
        <w:rPr>
          <w:color w:val="auto"/>
        </w:rPr>
      </w:pPr>
      <w:r w:rsidRPr="00AA43D9">
        <w:rPr>
          <w:color w:val="auto"/>
        </w:rPr>
        <w:t>Приложение</w:t>
      </w:r>
      <w:r w:rsidRPr="00AA43D9">
        <w:rPr>
          <w:color w:val="auto"/>
          <w:spacing w:val="-1"/>
        </w:rPr>
        <w:t xml:space="preserve"> 2 </w:t>
      </w:r>
      <w:r w:rsidRPr="00AA43D9">
        <w:rPr>
          <w:color w:val="auto"/>
        </w:rPr>
        <w:t>к</w:t>
      </w:r>
      <w:r w:rsidRPr="00AA43D9">
        <w:rPr>
          <w:color w:val="auto"/>
          <w:spacing w:val="-1"/>
        </w:rPr>
        <w:t xml:space="preserve"> </w:t>
      </w:r>
      <w:r w:rsidRPr="00AA43D9">
        <w:rPr>
          <w:color w:val="auto"/>
          <w:spacing w:val="-2"/>
        </w:rPr>
        <w:t>Порядку</w:t>
      </w:r>
    </w:p>
    <w:p w:rsidR="00E4259E" w:rsidRPr="00AA43D9" w:rsidRDefault="00E4259E" w:rsidP="00E4259E">
      <w:pPr>
        <w:ind w:left="216"/>
      </w:pPr>
      <w:r w:rsidRPr="00AA43D9">
        <w:t>Оформляется</w:t>
      </w:r>
      <w:r w:rsidRPr="00AA43D9">
        <w:rPr>
          <w:spacing w:val="-9"/>
        </w:rPr>
        <w:t xml:space="preserve"> </w:t>
      </w:r>
      <w:r w:rsidRPr="00AA43D9">
        <w:t>на</w:t>
      </w:r>
      <w:r w:rsidRPr="00AA43D9">
        <w:rPr>
          <w:spacing w:val="-9"/>
        </w:rPr>
        <w:t xml:space="preserve"> </w:t>
      </w:r>
      <w:r w:rsidRPr="00AA43D9">
        <w:t>официальном</w:t>
      </w:r>
      <w:r w:rsidRPr="00AA43D9">
        <w:rPr>
          <w:spacing w:val="-8"/>
        </w:rPr>
        <w:t xml:space="preserve"> </w:t>
      </w:r>
      <w:r w:rsidRPr="00AA43D9">
        <w:t>бланке</w:t>
      </w:r>
      <w:r w:rsidRPr="00AA43D9">
        <w:rPr>
          <w:spacing w:val="-2"/>
        </w:rPr>
        <w:t xml:space="preserve"> </w:t>
      </w:r>
      <w:r w:rsidRPr="00AA43D9">
        <w:t>участника</w:t>
      </w:r>
      <w:r w:rsidRPr="00AA43D9">
        <w:rPr>
          <w:spacing w:val="-10"/>
        </w:rPr>
        <w:t xml:space="preserve"> П</w:t>
      </w:r>
      <w:r w:rsidRPr="00AA43D9">
        <w:t>КО</w:t>
      </w:r>
    </w:p>
    <w:p w:rsidR="00E4259E" w:rsidRPr="00AA43D9" w:rsidRDefault="00E4259E" w:rsidP="00E4259E">
      <w:pPr>
        <w:ind w:left="216"/>
      </w:pPr>
      <w:r w:rsidRPr="00AA43D9">
        <w:t xml:space="preserve">с указанием даты и номера, подписывается </w:t>
      </w:r>
    </w:p>
    <w:p w:rsidR="00E4259E" w:rsidRPr="00AA43D9" w:rsidRDefault="00E4259E" w:rsidP="00E4259E">
      <w:pPr>
        <w:ind w:left="216"/>
      </w:pPr>
      <w:r w:rsidRPr="00AA43D9">
        <w:t>руководителем/уполномоченным лицом участника П</w:t>
      </w:r>
      <w:r w:rsidRPr="00AA43D9">
        <w:rPr>
          <w:spacing w:val="-4"/>
        </w:rPr>
        <w:t>КО</w:t>
      </w:r>
    </w:p>
    <w:p w:rsidR="00E4259E" w:rsidRPr="00AA43D9" w:rsidRDefault="00E4259E" w:rsidP="00E4259E">
      <w:pPr>
        <w:spacing w:line="360" w:lineRule="auto"/>
        <w:ind w:left="7"/>
        <w:rPr>
          <w:b/>
          <w:spacing w:val="-2"/>
        </w:rPr>
      </w:pPr>
    </w:p>
    <w:p w:rsidR="00E4259E" w:rsidRPr="00AA43D9" w:rsidRDefault="00E4259E" w:rsidP="00E4259E">
      <w:pPr>
        <w:spacing w:line="360" w:lineRule="auto"/>
        <w:ind w:left="7"/>
        <w:rPr>
          <w:b/>
          <w:spacing w:val="-2"/>
        </w:rPr>
      </w:pPr>
    </w:p>
    <w:p w:rsidR="00E4259E" w:rsidRPr="00AA43D9" w:rsidRDefault="00E4259E" w:rsidP="00E4259E">
      <w:pPr>
        <w:ind w:left="7" w:right="2"/>
        <w:jc w:val="center"/>
        <w:rPr>
          <w:b/>
        </w:rPr>
      </w:pPr>
      <w:r w:rsidRPr="00AA43D9">
        <w:rPr>
          <w:b/>
          <w:spacing w:val="-2"/>
        </w:rPr>
        <w:t>Справка</w:t>
      </w:r>
    </w:p>
    <w:p w:rsidR="00E4259E" w:rsidRPr="00AA43D9" w:rsidRDefault="00E4259E" w:rsidP="00E4259E">
      <w:pPr>
        <w:ind w:left="7"/>
        <w:jc w:val="center"/>
        <w:rPr>
          <w:b/>
        </w:rPr>
      </w:pPr>
      <w:r w:rsidRPr="00AA43D9">
        <w:rPr>
          <w:b/>
        </w:rPr>
        <w:t>о</w:t>
      </w:r>
      <w:r w:rsidRPr="00AA43D9">
        <w:rPr>
          <w:b/>
          <w:spacing w:val="-13"/>
        </w:rPr>
        <w:t xml:space="preserve"> </w:t>
      </w:r>
      <w:r w:rsidRPr="00AA43D9">
        <w:rPr>
          <w:b/>
        </w:rPr>
        <w:t>соответствии</w:t>
      </w:r>
      <w:r w:rsidRPr="00AA43D9">
        <w:rPr>
          <w:b/>
          <w:spacing w:val="-12"/>
        </w:rPr>
        <w:t xml:space="preserve"> </w:t>
      </w:r>
      <w:r w:rsidRPr="00AA43D9">
        <w:rPr>
          <w:b/>
        </w:rPr>
        <w:t>организации</w:t>
      </w:r>
      <w:r w:rsidRPr="00AA43D9">
        <w:rPr>
          <w:b/>
          <w:spacing w:val="-14"/>
        </w:rPr>
        <w:t xml:space="preserve"> </w:t>
      </w:r>
      <w:r w:rsidRPr="00AA43D9">
        <w:rPr>
          <w:b/>
        </w:rPr>
        <w:t>установленным</w:t>
      </w:r>
      <w:r w:rsidRPr="00AA43D9">
        <w:rPr>
          <w:b/>
          <w:spacing w:val="-9"/>
        </w:rPr>
        <w:t xml:space="preserve"> </w:t>
      </w:r>
      <w:r w:rsidRPr="00AA43D9">
        <w:rPr>
          <w:b/>
          <w:spacing w:val="-2"/>
        </w:rPr>
        <w:t>требованиям</w:t>
      </w:r>
    </w:p>
    <w:p w:rsidR="00E4259E" w:rsidRPr="00AA43D9" w:rsidRDefault="00E4259E" w:rsidP="00E4259E">
      <w:pPr>
        <w:pStyle w:val="a5"/>
        <w:widowControl/>
        <w:spacing w:line="360" w:lineRule="auto"/>
        <w:ind w:left="113" w:right="107" w:firstLine="708"/>
        <w:jc w:val="both"/>
        <w:rPr>
          <w:i/>
          <w:color w:val="auto"/>
        </w:rPr>
      </w:pPr>
    </w:p>
    <w:p w:rsidR="00E4259E" w:rsidRPr="00AA43D9" w:rsidRDefault="00E4259E" w:rsidP="003B5347">
      <w:pPr>
        <w:pStyle w:val="a5"/>
        <w:widowControl/>
        <w:spacing w:line="360" w:lineRule="auto"/>
        <w:ind w:left="113" w:right="107" w:firstLine="708"/>
        <w:jc w:val="both"/>
        <w:rPr>
          <w:color w:val="auto"/>
        </w:rPr>
      </w:pPr>
      <w:r w:rsidRPr="00AA43D9">
        <w:rPr>
          <w:i/>
          <w:color w:val="auto"/>
        </w:rPr>
        <w:t xml:space="preserve">(Полное наименование организации) </w:t>
      </w:r>
      <w:r w:rsidR="003B5347">
        <w:rPr>
          <w:color w:val="auto"/>
        </w:rPr>
        <w:t>в</w:t>
      </w:r>
      <w:r w:rsidR="003B5347" w:rsidRPr="003B5347">
        <w:rPr>
          <w:color w:val="auto"/>
        </w:rPr>
        <w:t xml:space="preserve"> рамках организации профессионального обучения и дополнительного профессионального образования отдельных категорий граждан в соответствии с постановлением Правительства Российской Федерации от 07.03.2025 № 291 «Об утверждении Положения о реализации мероприятий по организации профессионального обучения и дополнительного профессионального образования отдельных категорий граждан»</w:t>
      </w:r>
      <w:r w:rsidR="003B5347">
        <w:rPr>
          <w:color w:val="auto"/>
        </w:rPr>
        <w:t xml:space="preserve"> </w:t>
      </w:r>
      <w:r w:rsidRPr="00AA43D9">
        <w:rPr>
          <w:color w:val="auto"/>
        </w:rPr>
        <w:t>сообщает об:</w:t>
      </w:r>
    </w:p>
    <w:p w:rsidR="00E4259E" w:rsidRPr="00AA43D9" w:rsidRDefault="00E4259E" w:rsidP="00E4259E">
      <w:pPr>
        <w:pStyle w:val="a5"/>
        <w:widowControl/>
        <w:spacing w:line="360" w:lineRule="auto"/>
        <w:ind w:left="113" w:right="106" w:firstLine="708"/>
        <w:jc w:val="both"/>
        <w:rPr>
          <w:color w:val="auto"/>
        </w:rPr>
      </w:pPr>
      <w:r w:rsidRPr="00AA43D9">
        <w:rPr>
          <w:color w:val="auto"/>
        </w:rPr>
        <w:t>отсутствии неисполненной обязанности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:rsidR="00E4259E" w:rsidRPr="00AA43D9" w:rsidRDefault="00E4259E" w:rsidP="00E4259E">
      <w:pPr>
        <w:pStyle w:val="a5"/>
        <w:widowControl/>
        <w:spacing w:line="360" w:lineRule="auto"/>
        <w:ind w:left="113" w:right="104" w:firstLine="708"/>
        <w:jc w:val="both"/>
        <w:rPr>
          <w:color w:val="auto"/>
        </w:rPr>
      </w:pPr>
      <w:r w:rsidRPr="00AA43D9">
        <w:rPr>
          <w:color w:val="auto"/>
        </w:rPr>
        <w:t>отсутствии просроченной задолженности по возврату в федеральный бюджет субсидий, бюджетных</w:t>
      </w:r>
      <w:r w:rsidRPr="00AA43D9">
        <w:rPr>
          <w:color w:val="auto"/>
          <w:spacing w:val="-2"/>
        </w:rPr>
        <w:t xml:space="preserve"> </w:t>
      </w:r>
      <w:r w:rsidRPr="00AA43D9">
        <w:rPr>
          <w:color w:val="auto"/>
        </w:rPr>
        <w:t>инвестиций,</w:t>
      </w:r>
      <w:r w:rsidRPr="00AA43D9">
        <w:rPr>
          <w:color w:val="auto"/>
          <w:spacing w:val="-2"/>
        </w:rPr>
        <w:t xml:space="preserve"> </w:t>
      </w:r>
      <w:r w:rsidRPr="00AA43D9">
        <w:rPr>
          <w:color w:val="auto"/>
        </w:rPr>
        <w:t>предоставленных в</w:t>
      </w:r>
      <w:r w:rsidRPr="00AA43D9">
        <w:rPr>
          <w:color w:val="auto"/>
          <w:spacing w:val="-4"/>
        </w:rPr>
        <w:t xml:space="preserve"> </w:t>
      </w:r>
      <w:r w:rsidRPr="00AA43D9">
        <w:rPr>
          <w:color w:val="auto"/>
        </w:rPr>
        <w:t>том</w:t>
      </w:r>
      <w:r w:rsidRPr="00AA43D9">
        <w:rPr>
          <w:color w:val="auto"/>
          <w:spacing w:val="-2"/>
        </w:rPr>
        <w:t xml:space="preserve"> </w:t>
      </w:r>
      <w:r w:rsidRPr="00AA43D9">
        <w:rPr>
          <w:color w:val="auto"/>
        </w:rPr>
        <w:t>числе</w:t>
      </w:r>
      <w:r w:rsidRPr="00AA43D9">
        <w:rPr>
          <w:color w:val="auto"/>
          <w:spacing w:val="-3"/>
        </w:rPr>
        <w:t xml:space="preserve"> </w:t>
      </w:r>
      <w:r w:rsidRPr="00AA43D9">
        <w:rPr>
          <w:color w:val="auto"/>
        </w:rPr>
        <w:t>в</w:t>
      </w:r>
      <w:r w:rsidRPr="00AA43D9">
        <w:rPr>
          <w:color w:val="auto"/>
          <w:spacing w:val="-2"/>
        </w:rPr>
        <w:t xml:space="preserve"> </w:t>
      </w:r>
      <w:r w:rsidRPr="00AA43D9">
        <w:rPr>
          <w:color w:val="auto"/>
        </w:rPr>
        <w:t>соответствии</w:t>
      </w:r>
      <w:r w:rsidRPr="00AA43D9">
        <w:rPr>
          <w:color w:val="auto"/>
          <w:spacing w:val="-1"/>
        </w:rPr>
        <w:t xml:space="preserve"> </w:t>
      </w:r>
      <w:r w:rsidRPr="00AA43D9">
        <w:rPr>
          <w:color w:val="auto"/>
        </w:rPr>
        <w:t>с</w:t>
      </w:r>
      <w:r w:rsidRPr="00AA43D9">
        <w:rPr>
          <w:color w:val="auto"/>
          <w:spacing w:val="-4"/>
        </w:rPr>
        <w:t xml:space="preserve"> </w:t>
      </w:r>
      <w:r w:rsidRPr="00AA43D9">
        <w:rPr>
          <w:color w:val="auto"/>
        </w:rPr>
        <w:t>иными</w:t>
      </w:r>
      <w:r w:rsidRPr="00AA43D9">
        <w:rPr>
          <w:color w:val="auto"/>
          <w:spacing w:val="-3"/>
        </w:rPr>
        <w:t xml:space="preserve"> </w:t>
      </w:r>
      <w:r w:rsidRPr="00AA43D9">
        <w:rPr>
          <w:color w:val="auto"/>
        </w:rPr>
        <w:t>правовыми</w:t>
      </w:r>
      <w:r w:rsidRPr="00AA43D9">
        <w:rPr>
          <w:color w:val="auto"/>
          <w:spacing w:val="-1"/>
        </w:rPr>
        <w:t xml:space="preserve"> </w:t>
      </w:r>
      <w:r w:rsidRPr="00AA43D9">
        <w:rPr>
          <w:color w:val="auto"/>
        </w:rPr>
        <w:t>актами, а также иной просроченной (неурегулированной) задолженности по денежным обязательствам перед Российской Федерацией;</w:t>
      </w:r>
    </w:p>
    <w:p w:rsidR="00E4259E" w:rsidRPr="00AA43D9" w:rsidRDefault="00E4259E" w:rsidP="00E4259E">
      <w:pPr>
        <w:pStyle w:val="a5"/>
        <w:widowControl/>
        <w:spacing w:line="360" w:lineRule="auto"/>
        <w:ind w:left="113" w:right="109" w:firstLine="708"/>
        <w:jc w:val="both"/>
        <w:rPr>
          <w:color w:val="auto"/>
        </w:rPr>
      </w:pPr>
      <w:r w:rsidRPr="00AA43D9">
        <w:rPr>
          <w:color w:val="auto"/>
        </w:rPr>
        <w:t>отсутствии</w:t>
      </w:r>
      <w:r w:rsidRPr="00AA43D9">
        <w:rPr>
          <w:color w:val="auto"/>
          <w:spacing w:val="-15"/>
        </w:rPr>
        <w:t xml:space="preserve"> </w:t>
      </w:r>
      <w:r w:rsidRPr="00AA43D9">
        <w:rPr>
          <w:color w:val="auto"/>
        </w:rPr>
        <w:t>процесса</w:t>
      </w:r>
      <w:r w:rsidRPr="00AA43D9">
        <w:rPr>
          <w:color w:val="auto"/>
          <w:spacing w:val="-15"/>
        </w:rPr>
        <w:t xml:space="preserve"> </w:t>
      </w:r>
      <w:r w:rsidRPr="00AA43D9">
        <w:rPr>
          <w:color w:val="auto"/>
        </w:rPr>
        <w:t>реорганизации</w:t>
      </w:r>
      <w:r w:rsidRPr="00AA43D9">
        <w:rPr>
          <w:color w:val="auto"/>
          <w:spacing w:val="-14"/>
        </w:rPr>
        <w:t xml:space="preserve"> </w:t>
      </w:r>
      <w:r w:rsidRPr="00AA43D9">
        <w:rPr>
          <w:color w:val="auto"/>
        </w:rPr>
        <w:t>(за</w:t>
      </w:r>
      <w:r w:rsidRPr="00AA43D9">
        <w:rPr>
          <w:color w:val="auto"/>
          <w:spacing w:val="-15"/>
        </w:rPr>
        <w:t xml:space="preserve"> </w:t>
      </w:r>
      <w:r w:rsidRPr="00AA43D9">
        <w:rPr>
          <w:color w:val="auto"/>
        </w:rPr>
        <w:t>исключением</w:t>
      </w:r>
      <w:r w:rsidRPr="00AA43D9">
        <w:rPr>
          <w:color w:val="auto"/>
          <w:spacing w:val="-15"/>
        </w:rPr>
        <w:t xml:space="preserve"> </w:t>
      </w:r>
      <w:r w:rsidRPr="00AA43D9">
        <w:rPr>
          <w:color w:val="auto"/>
        </w:rPr>
        <w:t>реорганизации</w:t>
      </w:r>
      <w:r w:rsidRPr="00AA43D9">
        <w:rPr>
          <w:color w:val="auto"/>
          <w:spacing w:val="-13"/>
        </w:rPr>
        <w:t xml:space="preserve"> </w:t>
      </w:r>
      <w:r w:rsidRPr="00AA43D9">
        <w:rPr>
          <w:color w:val="auto"/>
        </w:rPr>
        <w:t>в</w:t>
      </w:r>
      <w:r w:rsidRPr="00AA43D9">
        <w:rPr>
          <w:color w:val="auto"/>
          <w:spacing w:val="-15"/>
        </w:rPr>
        <w:t xml:space="preserve"> </w:t>
      </w:r>
      <w:r w:rsidRPr="00AA43D9">
        <w:rPr>
          <w:color w:val="auto"/>
        </w:rPr>
        <w:t>форме</w:t>
      </w:r>
      <w:r w:rsidRPr="00AA43D9">
        <w:rPr>
          <w:color w:val="auto"/>
          <w:spacing w:val="-15"/>
        </w:rPr>
        <w:t xml:space="preserve"> </w:t>
      </w:r>
      <w:r w:rsidRPr="00AA43D9">
        <w:rPr>
          <w:color w:val="auto"/>
        </w:rPr>
        <w:t>присоединения другого юридического лица), ликвидации, процедуры банкротства, деятельность организации не приостановлена в порядке, предусмотренном законодательством Российской Федерации;</w:t>
      </w:r>
    </w:p>
    <w:p w:rsidR="00E4259E" w:rsidRPr="00AA43D9" w:rsidRDefault="00E4259E" w:rsidP="00E4259E">
      <w:pPr>
        <w:pStyle w:val="a5"/>
        <w:widowControl/>
        <w:spacing w:line="360" w:lineRule="auto"/>
        <w:ind w:left="113" w:right="111" w:firstLine="708"/>
        <w:jc w:val="both"/>
        <w:rPr>
          <w:color w:val="auto"/>
        </w:rPr>
      </w:pPr>
      <w:r w:rsidRPr="00AA43D9">
        <w:rPr>
          <w:color w:val="auto"/>
        </w:rPr>
        <w:t>отсутствии финансирования из федерального бюджета в соответствии с нормативными правовыми актами на реализацию идентичных целей;</w:t>
      </w:r>
    </w:p>
    <w:p w:rsidR="00E4259E" w:rsidRPr="00AA43D9" w:rsidRDefault="00E4259E" w:rsidP="00E4259E">
      <w:pPr>
        <w:pStyle w:val="a5"/>
        <w:widowControl/>
        <w:spacing w:line="360" w:lineRule="auto"/>
        <w:ind w:left="113" w:right="108" w:firstLine="708"/>
        <w:jc w:val="both"/>
        <w:rPr>
          <w:color w:val="auto"/>
        </w:rPr>
      </w:pPr>
      <w:r w:rsidRPr="00AA43D9">
        <w:rPr>
          <w:color w:val="auto"/>
        </w:rPr>
        <w:t>отсутствии в реестре дисквалифицированных лиц сведений о дисквалифицированных руководителях, членах коллегиального исполнительного органа, лице, исполняющем функции единоличного исполнительного органа, или главном бухгалтере.</w:t>
      </w:r>
    </w:p>
    <w:p w:rsidR="00E4259E" w:rsidRPr="00AA43D9" w:rsidRDefault="00E4259E" w:rsidP="00E4259E">
      <w:pPr>
        <w:pStyle w:val="a5"/>
        <w:widowControl/>
        <w:spacing w:line="360" w:lineRule="auto"/>
        <w:rPr>
          <w:color w:val="auto"/>
          <w:sz w:val="20"/>
        </w:rPr>
      </w:pPr>
    </w:p>
    <w:p w:rsidR="00E4259E" w:rsidRPr="00AA43D9" w:rsidRDefault="00E4259E" w:rsidP="00E4259E">
      <w:pPr>
        <w:pStyle w:val="a5"/>
        <w:widowControl/>
        <w:spacing w:line="360" w:lineRule="auto"/>
        <w:rPr>
          <w:color w:val="auto"/>
          <w:sz w:val="20"/>
        </w:rPr>
      </w:pPr>
    </w:p>
    <w:p w:rsidR="00E4259E" w:rsidRPr="00AA43D9" w:rsidRDefault="00E4259E" w:rsidP="00E4259E">
      <w:pPr>
        <w:pStyle w:val="a5"/>
        <w:widowControl/>
        <w:spacing w:line="360" w:lineRule="auto"/>
        <w:rPr>
          <w:color w:val="auto"/>
          <w:sz w:val="20"/>
        </w:rPr>
      </w:pPr>
    </w:p>
    <w:p w:rsidR="00E4259E" w:rsidRPr="00AA43D9" w:rsidRDefault="00E4259E" w:rsidP="00E4259E">
      <w:pPr>
        <w:pStyle w:val="a5"/>
        <w:widowControl/>
        <w:spacing w:line="360" w:lineRule="auto"/>
        <w:rPr>
          <w:color w:val="auto"/>
          <w:sz w:val="20"/>
        </w:rPr>
      </w:pPr>
    </w:p>
    <w:tbl>
      <w:tblPr>
        <w:tblStyle w:val="TableNormal"/>
        <w:tblpPr w:leftFromText="180" w:rightFromText="180" w:vertAnchor="text" w:tblpY="209"/>
        <w:tblW w:w="10210" w:type="dxa"/>
        <w:tblLayout w:type="fixed"/>
        <w:tblLook w:val="04A0" w:firstRow="1" w:lastRow="0" w:firstColumn="1" w:lastColumn="0" w:noHBand="0" w:noVBand="1"/>
      </w:tblPr>
      <w:tblGrid>
        <w:gridCol w:w="3248"/>
        <w:gridCol w:w="836"/>
        <w:gridCol w:w="2781"/>
        <w:gridCol w:w="452"/>
        <w:gridCol w:w="2893"/>
      </w:tblGrid>
      <w:tr w:rsidR="00E4259E" w:rsidRPr="00AA43D9" w:rsidTr="00E4259E">
        <w:trPr>
          <w:trHeight w:val="660"/>
        </w:trPr>
        <w:tc>
          <w:tcPr>
            <w:tcW w:w="3248" w:type="dxa"/>
            <w:tcBorders>
              <w:top w:val="single" w:sz="4" w:space="0" w:color="000000"/>
            </w:tcBorders>
          </w:tcPr>
          <w:p w:rsidR="00E4259E" w:rsidRPr="00AA43D9" w:rsidRDefault="00E4259E" w:rsidP="00E4259E">
            <w:pPr>
              <w:pStyle w:val="TableParagraph"/>
              <w:spacing w:line="360" w:lineRule="auto"/>
              <w:ind w:left="0" w:right="3"/>
              <w:rPr>
                <w:color w:val="auto"/>
                <w:sz w:val="20"/>
              </w:rPr>
            </w:pPr>
            <w:r w:rsidRPr="00AA43D9">
              <w:rPr>
                <w:color w:val="auto"/>
                <w:spacing w:val="-2"/>
                <w:sz w:val="20"/>
              </w:rPr>
              <w:t>(должность)</w:t>
            </w:r>
          </w:p>
        </w:tc>
        <w:tc>
          <w:tcPr>
            <w:tcW w:w="836" w:type="dxa"/>
          </w:tcPr>
          <w:p w:rsidR="00E4259E" w:rsidRPr="00AA43D9" w:rsidRDefault="00E4259E" w:rsidP="00E4259E">
            <w:pPr>
              <w:pStyle w:val="TableParagraph"/>
              <w:spacing w:line="360" w:lineRule="auto"/>
              <w:ind w:left="0"/>
              <w:jc w:val="left"/>
              <w:rPr>
                <w:color w:val="auto"/>
              </w:rPr>
            </w:pPr>
          </w:p>
        </w:tc>
        <w:tc>
          <w:tcPr>
            <w:tcW w:w="2781" w:type="dxa"/>
            <w:tcBorders>
              <w:top w:val="single" w:sz="4" w:space="0" w:color="000000"/>
            </w:tcBorders>
          </w:tcPr>
          <w:p w:rsidR="00E4259E" w:rsidRPr="00AA43D9" w:rsidRDefault="00E4259E" w:rsidP="00E4259E">
            <w:pPr>
              <w:pStyle w:val="TableParagraph"/>
              <w:spacing w:line="360" w:lineRule="auto"/>
              <w:ind w:left="1" w:right="4"/>
              <w:rPr>
                <w:color w:val="auto"/>
                <w:sz w:val="20"/>
              </w:rPr>
            </w:pPr>
            <w:r w:rsidRPr="00AA43D9">
              <w:rPr>
                <w:color w:val="auto"/>
                <w:spacing w:val="-2"/>
                <w:sz w:val="20"/>
              </w:rPr>
              <w:t>(подпись)</w:t>
            </w:r>
          </w:p>
          <w:p w:rsidR="00E4259E" w:rsidRPr="00AA43D9" w:rsidRDefault="00E4259E" w:rsidP="00E4259E">
            <w:pPr>
              <w:pStyle w:val="TableParagraph"/>
              <w:spacing w:line="360" w:lineRule="auto"/>
              <w:ind w:left="0" w:right="4"/>
              <w:rPr>
                <w:i/>
                <w:color w:val="auto"/>
                <w:sz w:val="20"/>
              </w:rPr>
            </w:pPr>
            <w:r w:rsidRPr="00AA43D9">
              <w:rPr>
                <w:i/>
                <w:color w:val="auto"/>
                <w:spacing w:val="-4"/>
                <w:sz w:val="20"/>
              </w:rPr>
              <w:t>М.П.</w:t>
            </w:r>
          </w:p>
        </w:tc>
        <w:tc>
          <w:tcPr>
            <w:tcW w:w="452" w:type="dxa"/>
          </w:tcPr>
          <w:p w:rsidR="00E4259E" w:rsidRPr="00AA43D9" w:rsidRDefault="00E4259E" w:rsidP="00E4259E">
            <w:pPr>
              <w:pStyle w:val="TableParagraph"/>
              <w:spacing w:line="360" w:lineRule="auto"/>
              <w:ind w:left="0"/>
              <w:jc w:val="left"/>
              <w:rPr>
                <w:color w:val="auto"/>
              </w:rPr>
            </w:pPr>
          </w:p>
        </w:tc>
        <w:tc>
          <w:tcPr>
            <w:tcW w:w="2893" w:type="dxa"/>
            <w:tcBorders>
              <w:top w:val="single" w:sz="4" w:space="0" w:color="000000"/>
            </w:tcBorders>
          </w:tcPr>
          <w:p w:rsidR="00E4259E" w:rsidRPr="00AA43D9" w:rsidRDefault="00E4259E" w:rsidP="00E4259E">
            <w:pPr>
              <w:pStyle w:val="TableParagraph"/>
              <w:spacing w:line="360" w:lineRule="auto"/>
              <w:ind w:left="0"/>
              <w:rPr>
                <w:color w:val="auto"/>
                <w:sz w:val="20"/>
              </w:rPr>
            </w:pPr>
            <w:r w:rsidRPr="00AA43D9">
              <w:rPr>
                <w:color w:val="auto"/>
                <w:spacing w:val="-2"/>
                <w:sz w:val="20"/>
              </w:rPr>
              <w:t>(Ф.И.О.)</w:t>
            </w:r>
          </w:p>
        </w:tc>
      </w:tr>
    </w:tbl>
    <w:p w:rsidR="007862AD" w:rsidRDefault="007862AD"/>
    <w:sectPr w:rsidR="007862AD" w:rsidSect="00E4259E">
      <w:pgSz w:w="11906" w:h="16838"/>
      <w:pgMar w:top="1134" w:right="850" w:bottom="1134" w:left="99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59E"/>
    <w:rsid w:val="003B5347"/>
    <w:rsid w:val="006F6EAD"/>
    <w:rsid w:val="007862AD"/>
    <w:rsid w:val="00A062F8"/>
    <w:rsid w:val="00C22AF0"/>
    <w:rsid w:val="00C24BD9"/>
    <w:rsid w:val="00E4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459292"/>
  <w15:chartTrackingRefBased/>
  <w15:docId w15:val="{A6841C6A-7729-4643-9B2C-D070E4D7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E4259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NR">
    <w:name w:val="Заголовок TNR"/>
    <w:basedOn w:val="a3"/>
    <w:next w:val="a"/>
    <w:autoRedefine/>
    <w:qFormat/>
    <w:rsid w:val="006F6EAD"/>
    <w:pPr>
      <w:spacing w:line="360" w:lineRule="auto"/>
      <w:ind w:firstLine="709"/>
    </w:pPr>
    <w:rPr>
      <w:rFonts w:ascii="Times New Roman" w:hAnsi="Times New Roman" w:cs="Times New Roman"/>
      <w:b/>
      <w:bCs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6F6E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6F6E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Обычный1"/>
    <w:rsid w:val="00E4259E"/>
    <w:rPr>
      <w:rFonts w:ascii="Times New Roman" w:hAnsi="Times New Roman"/>
    </w:rPr>
  </w:style>
  <w:style w:type="paragraph" w:customStyle="1" w:styleId="TableParagraph">
    <w:name w:val="Table Paragraph"/>
    <w:basedOn w:val="a"/>
    <w:rsid w:val="00E4259E"/>
    <w:pPr>
      <w:ind w:left="14"/>
      <w:jc w:val="center"/>
    </w:pPr>
    <w:rPr>
      <w:color w:val="000000"/>
      <w:sz w:val="22"/>
      <w:szCs w:val="20"/>
    </w:rPr>
  </w:style>
  <w:style w:type="paragraph" w:styleId="a5">
    <w:name w:val="Body Text"/>
    <w:basedOn w:val="a"/>
    <w:link w:val="a6"/>
    <w:rsid w:val="00E4259E"/>
    <w:pPr>
      <w:widowControl w:val="0"/>
    </w:pPr>
    <w:rPr>
      <w:color w:val="000000"/>
      <w:szCs w:val="20"/>
    </w:rPr>
  </w:style>
  <w:style w:type="character" w:customStyle="1" w:styleId="a6">
    <w:name w:val="Основной текст Знак"/>
    <w:basedOn w:val="a0"/>
    <w:link w:val="a5"/>
    <w:rsid w:val="00E4259E"/>
    <w:rPr>
      <w:rFonts w:eastAsia="Times New Roman"/>
      <w:color w:val="000000"/>
      <w:sz w:val="24"/>
      <w:szCs w:val="20"/>
      <w:lang w:eastAsia="ru-RU"/>
    </w:rPr>
  </w:style>
  <w:style w:type="table" w:customStyle="1" w:styleId="TableNormal">
    <w:name w:val="Table Normal"/>
    <w:rsid w:val="00E4259E"/>
    <w:pPr>
      <w:widowControl w:val="0"/>
    </w:pPr>
    <w:rPr>
      <w:rFonts w:asciiTheme="minorHAnsi" w:eastAsia="Times New Roman" w:hAnsiTheme="minorHAnsi"/>
      <w:color w:val="000000"/>
      <w:sz w:val="22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Жук</dc:creator>
  <cp:keywords/>
  <dc:description/>
  <cp:lastModifiedBy>Андрей Жук</cp:lastModifiedBy>
  <cp:revision>2</cp:revision>
  <dcterms:created xsi:type="dcterms:W3CDTF">2025-03-01T09:41:00Z</dcterms:created>
  <dcterms:modified xsi:type="dcterms:W3CDTF">2025-03-13T09:47:00Z</dcterms:modified>
</cp:coreProperties>
</file>